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end"/>
        <w:rPr>
          <w:rFonts w:ascii="Calibri" w:hAnsi="Calibri"/>
          <w:b/>
          <w:shd w:fill="FFFF00" w:val="clear"/>
        </w:rPr>
      </w:pPr>
      <w:r>
        <w:rPr>
          <w:rFonts w:ascii="Calibri" w:hAnsi="Calibri"/>
          <w:b/>
        </w:rPr>
        <w:tab/>
      </w:r>
      <w:r>
        <w:rPr>
          <w:rFonts w:ascii="Calibri" w:hAnsi="Calibri"/>
          <w:b/>
          <w:shd w:fill="FFFF00" w:val="clear"/>
        </w:rPr>
        <w:t>Ort, Datum</w:t>
      </w:r>
    </w:p>
    <w:p>
      <w:pPr>
        <w:pStyle w:val="Normal"/>
        <w:jc w:val="end"/>
        <w:rPr/>
      </w:pPr>
      <w:r>
        <w:rPr/>
      </w:r>
    </w:p>
    <w:p>
      <w:pPr>
        <w:pStyle w:val="Normal"/>
        <w:rPr>
          <w:rFonts w:ascii="Calibri" w:hAnsi="Calibri"/>
          <w:b/>
        </w:rPr>
      </w:pPr>
      <w:r>
        <w:rPr>
          <w:rFonts w:ascii="Calibri" w:hAnsi="Calibri"/>
          <w:b/>
        </w:rPr>
      </w:r>
    </w:p>
    <w:p>
      <w:pPr>
        <w:pStyle w:val="Normal"/>
        <w:rPr>
          <w:rFonts w:ascii="Calibri" w:hAnsi="Calibri"/>
          <w:b/>
        </w:rPr>
      </w:pPr>
      <w:r>
        <w:rPr>
          <w:rFonts w:ascii="Calibri" w:hAnsi="Calibri"/>
          <w:b/>
        </w:rPr>
        <w:t>Beschlussvorlage für den ?? Gemeinderat „Resolution gegen TTIP, TiSA und  CETA“</w:t>
      </w:r>
    </w:p>
    <w:p>
      <w:pPr>
        <w:pStyle w:val="Normal"/>
        <w:rPr>
          <w:rFonts w:ascii="Calibri" w:hAnsi="Calibri"/>
        </w:rPr>
      </w:pPr>
      <w:r>
        <w:rPr>
          <w:rFonts w:ascii="Calibri" w:hAnsi="Calibri"/>
        </w:rPr>
      </w:r>
    </w:p>
    <w:p>
      <w:pPr>
        <w:pStyle w:val="Normal"/>
        <w:numPr>
          <w:ilvl w:val="0"/>
          <w:numId w:val="1"/>
        </w:numPr>
        <w:rPr>
          <w:rFonts w:cs="Calibri" w:ascii="Calibri" w:hAnsi="Calibri"/>
          <w:sz w:val="22"/>
          <w:szCs w:val="22"/>
        </w:rPr>
      </w:pPr>
      <w:r>
        <w:rPr>
          <w:rFonts w:cs="Calibri" w:ascii="Calibri" w:hAnsi="Calibri"/>
          <w:sz w:val="22"/>
          <w:szCs w:val="22"/>
        </w:rPr>
        <w:t xml:space="preserve">Der Gemeinderat der </w:t>
      </w:r>
      <w:r>
        <w:rPr>
          <w:rFonts w:cs="Calibri" w:ascii="Calibri" w:hAnsi="Calibri"/>
          <w:sz w:val="22"/>
          <w:szCs w:val="22"/>
          <w:shd w:fill="FFFF00" w:val="clear"/>
        </w:rPr>
        <w:t xml:space="preserve">Stadt/Kommune ?? </w:t>
      </w:r>
      <w:r>
        <w:rPr>
          <w:rFonts w:cs="Calibri" w:ascii="Calibri" w:hAnsi="Calibri"/>
          <w:sz w:val="22"/>
          <w:szCs w:val="22"/>
        </w:rPr>
        <w:t xml:space="preserve"> lehnt alle Vorstöße in den geplanten bi- und pluri</w:t>
      </w:r>
      <w:r>
        <w:rPr>
          <w:rFonts w:cs="Calibri" w:ascii="Calibri" w:hAnsi="Calibri"/>
          <w:bCs/>
          <w:sz w:val="22"/>
          <w:szCs w:val="22"/>
        </w:rPr>
        <w:t xml:space="preserve">lateralen Handelsverträgen </w:t>
      </w:r>
      <w:r>
        <w:rPr>
          <w:rFonts w:cs="Calibri" w:ascii="Calibri" w:hAnsi="Calibri"/>
          <w:sz w:val="22"/>
          <w:szCs w:val="22"/>
        </w:rPr>
        <w:t xml:space="preserve"> TTIP, TiSA und CETA ab, die das Prinzip der kommunalen Selbstverwaltung verletzen und die politischen Gestaltungsmöglichkeiten von Städten und Gemeinden einschränken.</w:t>
      </w:r>
    </w:p>
    <w:p>
      <w:pPr>
        <w:pStyle w:val="Normal"/>
        <w:rPr>
          <w:rFonts w:cs="Calibri" w:ascii="Calibri" w:hAnsi="Calibri"/>
          <w:sz w:val="22"/>
          <w:szCs w:val="22"/>
        </w:rPr>
      </w:pPr>
      <w:r>
        <w:rPr>
          <w:rFonts w:cs="Calibri" w:ascii="Calibri" w:hAnsi="Calibri"/>
          <w:sz w:val="22"/>
          <w:szCs w:val="22"/>
        </w:rPr>
      </w:r>
    </w:p>
    <w:p>
      <w:pPr>
        <w:pStyle w:val="Normal"/>
        <w:ind w:start="720" w:end="0" w:hanging="0"/>
        <w:rPr>
          <w:rFonts w:cs="Calibri" w:ascii="Calibri" w:hAnsi="Calibri"/>
          <w:sz w:val="22"/>
          <w:szCs w:val="22"/>
        </w:rPr>
      </w:pPr>
      <w:r>
        <w:rPr>
          <w:rFonts w:cs="Calibri" w:ascii="Calibri" w:hAnsi="Calibri"/>
          <w:sz w:val="22"/>
          <w:szCs w:val="22"/>
        </w:rPr>
        <w:t xml:space="preserve">Der </w:t>
      </w:r>
      <w:r>
        <w:rPr>
          <w:rFonts w:cs="Calibri" w:ascii="Calibri" w:hAnsi="Calibri"/>
          <w:sz w:val="22"/>
          <w:szCs w:val="22"/>
        </w:rPr>
        <w:t xml:space="preserve">Schutz der kommunalen Daseinsvorsorge vor weiteren Liberalisierungen </w:t>
      </w:r>
      <w:r>
        <w:rPr>
          <w:rFonts w:cs="Calibri" w:ascii="Calibri" w:hAnsi="Calibri"/>
          <w:sz w:val="22"/>
          <w:szCs w:val="22"/>
        </w:rPr>
        <w:t>muss garantiert werden, indem Mittels eines Positivlistenansatzes, aufgelistet wird, in welchen konkreten Bereichen verstärkter Wettbewerb stattfinden soll, die kommunale Daseinsvorsorge sollte vollständig ausgeschlossen werden. Ge</w:t>
      </w:r>
      <w:r>
        <w:rPr>
          <w:rFonts w:cs="Calibri" w:ascii="Calibri" w:hAnsi="Calibri"/>
          <w:sz w:val="22"/>
          <w:szCs w:val="22"/>
        </w:rPr>
        <w:t xml:space="preserve">plante Sperrklinkenklauseln, die sich als Re-Kommunalisierungsverbote auswirken </w:t>
      </w:r>
      <w:r>
        <w:rPr>
          <w:rFonts w:cs="Calibri" w:ascii="Calibri" w:hAnsi="Calibri"/>
          <w:sz w:val="22"/>
          <w:szCs w:val="22"/>
        </w:rPr>
        <w:t>und</w:t>
      </w:r>
      <w:r>
        <w:rPr>
          <w:rFonts w:cs="Calibri" w:ascii="Calibri" w:hAnsi="Calibri"/>
          <w:sz w:val="22"/>
          <w:szCs w:val="22"/>
        </w:rPr>
        <w:t xml:space="preserve"> Eingriffe in die kommunale Planungshoheit durch zum Beispiel Verbote bei Beschränkungen im Niederlassungsrecht </w:t>
      </w:r>
      <w:r>
        <w:rPr>
          <w:rFonts w:cs="Calibri" w:ascii="Calibri" w:hAnsi="Calibri"/>
          <w:sz w:val="22"/>
          <w:szCs w:val="22"/>
        </w:rPr>
        <w:t>sind abzulehnen.</w:t>
      </w:r>
    </w:p>
    <w:p>
      <w:pPr>
        <w:pStyle w:val="Normal"/>
        <w:tabs>
          <w:tab w:val="left" w:pos="720" w:leader="none"/>
        </w:tabs>
        <w:ind w:start="709" w:end="0" w:hanging="0"/>
        <w:rPr>
          <w:rFonts w:cs="Calibri" w:ascii="Calibri" w:hAnsi="Calibri"/>
          <w:sz w:val="22"/>
          <w:szCs w:val="22"/>
        </w:rPr>
      </w:pPr>
      <w:r>
        <w:rPr>
          <w:rFonts w:cs="Calibri" w:ascii="Calibri" w:hAnsi="Calibri"/>
          <w:sz w:val="22"/>
          <w:szCs w:val="22"/>
        </w:rPr>
        <w:t>Ebenso ist abzulehnen, dass durch Klagen ausländischer Konzerne vor internationalen Schiedsgerichten, aufgrund des Grundsatzes der „billigen und gerechten Behandlung“,  Subventions- und Regulierungsentscheidungen des Gemeinderates zu Schadensersatzzahlungen für die Bürgerinnen und Bürger führen können.</w:t>
      </w:r>
    </w:p>
    <w:p>
      <w:pPr>
        <w:pStyle w:val="Normal"/>
        <w:tabs>
          <w:tab w:val="left" w:pos="720" w:leader="none"/>
        </w:tabs>
        <w:ind w:start="709" w:end="0" w:hanging="0"/>
        <w:rPr>
          <w:rFonts w:cs="Calibri" w:ascii="Calibri" w:hAnsi="Calibri"/>
          <w:sz w:val="22"/>
          <w:szCs w:val="22"/>
        </w:rPr>
      </w:pPr>
      <w:r>
        <w:rPr>
          <w:rFonts w:cs="Calibri" w:ascii="Calibri" w:hAnsi="Calibri"/>
          <w:sz w:val="22"/>
          <w:szCs w:val="22"/>
        </w:rPr>
        <w:t xml:space="preserve">Auch eine erweiterte und bei niedrigen Schwellenwerten angesetzte Ausschreibungspflicht im öffentlichen Beschaffungswesen, die es immer schwieriger macht, neben Preishöhe auch ökologische und soziale Kriterien bei </w:t>
      </w:r>
      <w:r>
        <w:rPr>
          <w:rFonts w:cs="Calibri" w:ascii="Calibri" w:hAnsi="Calibri"/>
          <w:sz w:val="22"/>
          <w:szCs w:val="22"/>
        </w:rPr>
        <w:t>der Auftragsvergabe</w:t>
      </w:r>
      <w:r>
        <w:rPr>
          <w:rFonts w:cs="Calibri" w:ascii="Calibri" w:hAnsi="Calibri"/>
          <w:sz w:val="22"/>
          <w:szCs w:val="22"/>
        </w:rPr>
        <w:t xml:space="preserve"> einzufaktorisieren, sollte nicht Teil des Abkommens sein. </w:t>
      </w:r>
    </w:p>
    <w:p>
      <w:pPr>
        <w:pStyle w:val="Normal"/>
        <w:rPr>
          <w:rFonts w:cs="Calibri" w:ascii="Calibri" w:hAnsi="Calibri"/>
          <w:sz w:val="22"/>
          <w:szCs w:val="22"/>
        </w:rPr>
      </w:pPr>
      <w:r>
        <w:rPr>
          <w:rFonts w:cs="Calibri" w:ascii="Calibri" w:hAnsi="Calibri"/>
          <w:sz w:val="22"/>
          <w:szCs w:val="22"/>
        </w:rPr>
      </w:r>
    </w:p>
    <w:p>
      <w:pPr>
        <w:pStyle w:val="Normal"/>
        <w:numPr>
          <w:ilvl w:val="0"/>
          <w:numId w:val="1"/>
        </w:numPr>
        <w:rPr>
          <w:rFonts w:cs="Calibri" w:ascii="Calibri" w:hAnsi="Calibri"/>
          <w:sz w:val="22"/>
          <w:szCs w:val="22"/>
        </w:rPr>
      </w:pPr>
      <w:r>
        <w:rPr>
          <w:rFonts w:cs="Calibri" w:ascii="Calibri" w:hAnsi="Calibri"/>
          <w:sz w:val="22"/>
          <w:szCs w:val="22"/>
        </w:rPr>
        <w:t xml:space="preserve">Wegen der weitreichenden Folgen der Abkommen für alle staatlichen Ebenen müssen bei den Verhandlungen zu den Freihandelsabkommen die gewählter Parlamentarier/innen </w:t>
      </w:r>
      <w:r>
        <w:rPr>
          <w:rFonts w:cs="Calibri" w:ascii="Calibri" w:hAnsi="Calibri"/>
          <w:sz w:val="22"/>
          <w:szCs w:val="22"/>
        </w:rPr>
        <w:t xml:space="preserve">oder Spitzenverbände </w:t>
      </w:r>
      <w:r>
        <w:rPr>
          <w:rFonts w:cs="Calibri" w:ascii="Calibri" w:hAnsi="Calibri"/>
          <w:sz w:val="22"/>
          <w:szCs w:val="22"/>
        </w:rPr>
        <w:t xml:space="preserve">auf europäischer und nationaler Ebene, sowie auf Länderebene und kommunaler Ebene über Verhandlungspositionen informiert </w:t>
      </w:r>
      <w:r>
        <w:rPr>
          <w:rFonts w:cs="Calibri" w:ascii="Calibri" w:hAnsi="Calibri"/>
          <w:sz w:val="22"/>
          <w:szCs w:val="22"/>
        </w:rPr>
        <w:t>und so früh einbezogen werden, dass Mitgestaltung möglich wird.</w:t>
      </w:r>
    </w:p>
    <w:p>
      <w:pPr>
        <w:pStyle w:val="Normal"/>
        <w:rPr>
          <w:rFonts w:cs="Calibri" w:ascii="Calibri" w:hAnsi="Calibri"/>
          <w:sz w:val="22"/>
          <w:szCs w:val="22"/>
        </w:rPr>
      </w:pPr>
      <w:r>
        <w:rPr>
          <w:rFonts w:cs="Calibri" w:ascii="Calibri" w:hAnsi="Calibri"/>
          <w:sz w:val="22"/>
          <w:szCs w:val="22"/>
        </w:rPr>
      </w:r>
    </w:p>
    <w:p>
      <w:pPr>
        <w:pStyle w:val="Normal"/>
        <w:rPr>
          <w:rFonts w:cs="Calibri" w:ascii="Calibri" w:hAnsi="Calibri"/>
          <w:sz w:val="22"/>
          <w:szCs w:val="22"/>
        </w:rPr>
      </w:pPr>
      <w:r>
        <w:rPr>
          <w:rFonts w:cs="Calibri" w:ascii="Calibri" w:hAnsi="Calibri"/>
          <w:sz w:val="22"/>
          <w:szCs w:val="22"/>
        </w:rPr>
      </w:r>
    </w:p>
    <w:p>
      <w:pPr>
        <w:pStyle w:val="Normal"/>
        <w:numPr>
          <w:ilvl w:val="0"/>
          <w:numId w:val="1"/>
        </w:numPr>
        <w:rPr>
          <w:rFonts w:cs="Calibri" w:ascii="Calibri" w:hAnsi="Calibri"/>
          <w:sz w:val="22"/>
          <w:szCs w:val="22"/>
        </w:rPr>
      </w:pPr>
      <w:r>
        <w:rPr>
          <w:rFonts w:cs="Calibri" w:ascii="Calibri" w:hAnsi="Calibri"/>
          <w:sz w:val="22"/>
          <w:szCs w:val="22"/>
        </w:rPr>
        <w:t xml:space="preserve">Die </w:t>
      </w:r>
      <w:r>
        <w:rPr>
          <w:rFonts w:cs="Calibri" w:ascii="Calibri" w:hAnsi="Calibri"/>
          <w:sz w:val="22"/>
          <w:szCs w:val="22"/>
          <w:shd w:fill="FFFF00" w:val="clear"/>
        </w:rPr>
        <w:t>Gemeinde  ??</w:t>
      </w:r>
      <w:r>
        <w:rPr>
          <w:rFonts w:cs="Calibri" w:ascii="Calibri" w:hAnsi="Calibri"/>
          <w:sz w:val="22"/>
          <w:szCs w:val="22"/>
        </w:rPr>
        <w:t xml:space="preserve">  wird ihre ablehnende Haltung gegen die Einschränkungen der kommunalen Demokratie in geeigneter Weise gegenüber der Landes- und Bundesregierung sowie dem Europäischen Parlament deutlich machen und sich in den kommunalen Spitzenverbänden dafür </w:t>
      </w:r>
      <w:r>
        <w:rPr>
          <w:rFonts w:cs="Calibri" w:ascii="Calibri" w:hAnsi="Calibri"/>
          <w:bCs/>
          <w:sz w:val="22"/>
          <w:szCs w:val="22"/>
        </w:rPr>
        <w:t>einsetzen</w:t>
      </w:r>
      <w:r>
        <w:rPr>
          <w:rFonts w:cs="Calibri" w:ascii="Calibri" w:hAnsi="Calibri"/>
          <w:sz w:val="22"/>
          <w:szCs w:val="22"/>
        </w:rPr>
        <w:t>, dass diese sich ebenfalls gegen derartige Vorstöße in den Handelsverträge positionieren. Sie wird darüber hinaus ihre Möglichkeiten nutzen, die Öffentlichkeit über ihre ablehnende Haltung zu den genannten Vorstößen und die Inhalte der geplanten Freihandelsabkommen TTIP, TiSA und CETA zu informieren.</w:t>
      </w:r>
    </w:p>
    <w:p>
      <w:pPr>
        <w:pStyle w:val="Normal"/>
        <w:rPr>
          <w:rFonts w:ascii="Calibri" w:hAnsi="Calibri"/>
          <w:sz w:val="22"/>
          <w:szCs w:val="22"/>
        </w:rPr>
      </w:pPr>
      <w:r>
        <w:rPr>
          <w:rFonts w:ascii="Calibri" w:hAnsi="Calibri"/>
          <w:sz w:val="22"/>
          <w:szCs w:val="22"/>
        </w:rPr>
      </w:r>
    </w:p>
    <w:p>
      <w:pPr>
        <w:pStyle w:val="Normal"/>
        <w:rPr>
          <w:rFonts w:ascii="Calibri" w:hAnsi="Calibri"/>
        </w:rPr>
      </w:pPr>
      <w:r>
        <w:rPr>
          <w:rFonts w:ascii="Calibri" w:hAnsi="Calibri"/>
        </w:rPr>
      </w:r>
    </w:p>
    <w:p>
      <w:pPr>
        <w:pStyle w:val="Normal"/>
        <w:rPr>
          <w:rFonts w:cs="Calibri" w:ascii="Calibri" w:hAnsi="Calibri"/>
          <w:sz w:val="22"/>
          <w:szCs w:val="22"/>
        </w:rPr>
      </w:pPr>
      <w:r>
        <w:rPr>
          <w:rFonts w:cs="Calibri" w:ascii="Calibri" w:hAnsi="Calibri"/>
          <w:sz w:val="22"/>
          <w:szCs w:val="22"/>
        </w:rPr>
      </w:r>
    </w:p>
    <w:p>
      <w:pPr>
        <w:pStyle w:val="Normal"/>
        <w:rPr>
          <w:rFonts w:cs="Calibri" w:ascii="Calibri" w:hAnsi="Calibri"/>
          <w:sz w:val="22"/>
          <w:szCs w:val="22"/>
        </w:rPr>
      </w:pPr>
      <w:r>
        <w:rPr>
          <w:rFonts w:cs="Calibri" w:ascii="Calibri" w:hAnsi="Calibri"/>
          <w:sz w:val="22"/>
          <w:szCs w:val="22"/>
        </w:rPr>
      </w:r>
    </w:p>
    <w:p>
      <w:pPr>
        <w:pStyle w:val="Normal"/>
        <w:rPr>
          <w:rFonts w:cs="Calibri" w:ascii="Calibri" w:hAnsi="Calibri"/>
          <w:sz w:val="22"/>
          <w:szCs w:val="22"/>
        </w:rPr>
      </w:pPr>
      <w:r>
        <w:rPr>
          <w:rFonts w:cs="Calibri" w:ascii="Calibri" w:hAnsi="Calibri"/>
          <w:sz w:val="22"/>
          <w:szCs w:val="22"/>
        </w:rPr>
        <w:t>Begründung:</w:t>
      </w:r>
    </w:p>
    <w:p>
      <w:pPr>
        <w:pStyle w:val="Normal"/>
        <w:rPr>
          <w:rFonts w:ascii="Calibri" w:hAnsi="Calibri"/>
        </w:rPr>
      </w:pPr>
      <w:r>
        <w:rPr>
          <w:rFonts w:ascii="Calibri" w:hAnsi="Calibri"/>
        </w:rPr>
      </w:r>
    </w:p>
    <w:p>
      <w:pPr>
        <w:pStyle w:val="Normal"/>
        <w:rPr>
          <w:rFonts w:cs="Calibri" w:ascii="Calibri" w:hAnsi="Calibri"/>
          <w:sz w:val="22"/>
          <w:szCs w:val="22"/>
        </w:rPr>
      </w:pPr>
      <w:r>
        <w:rPr>
          <w:rFonts w:cs="Calibri" w:ascii="Calibri" w:hAnsi="Calibri"/>
          <w:sz w:val="22"/>
          <w:szCs w:val="22"/>
        </w:rPr>
        <w:t xml:space="preserve">Demokratie und Transparenz </w:t>
      </w:r>
    </w:p>
    <w:p>
      <w:pPr>
        <w:pStyle w:val="Normal"/>
        <w:rPr>
          <w:rFonts w:cs="Calibri" w:ascii="Calibri" w:hAnsi="Calibri"/>
          <w:sz w:val="22"/>
          <w:szCs w:val="22"/>
        </w:rPr>
      </w:pPr>
      <w:r>
        <w:rPr>
          <w:rFonts w:cs="Calibri" w:ascii="Calibri" w:hAnsi="Calibri"/>
          <w:sz w:val="22"/>
          <w:szCs w:val="22"/>
        </w:rPr>
        <w:t xml:space="preserve">Die Verhandlungen zu allen drei Abkommen fanden und finden als Geheimverhandlungen statt – unter Ausschluss der Öffentlichkeit. Nicht einmal die EU-Abgeordneten haben uneingeschränkten Zugang zu den Dokumenten. Und obwohl Städte und Kommunen direkt betroffen sind, werden nicht mal die kommunalen Spitzenverbände (Städte- und Gemeindetag, sowie Landkreistag) in die Verhandlungen eingebunden. Dies entspricht nicht den demokratischen Standards. Vielmehr muss die Einbeziehung in die Verträge so frühzeitig erfolgen, dass die Mit-Gestaltungsmöglichkeit gegeben ist. Daher fordern wir die Veröffentlichung aller </w:t>
      </w:r>
      <w:r>
        <w:rPr>
          <w:rFonts w:cs="Calibri" w:ascii="Calibri" w:hAnsi="Calibri"/>
          <w:sz w:val="22"/>
          <w:szCs w:val="22"/>
        </w:rPr>
        <w:t xml:space="preserve">notwendigen </w:t>
      </w:r>
      <w:r>
        <w:rPr>
          <w:rFonts w:cs="Calibri" w:ascii="Calibri" w:hAnsi="Calibri"/>
          <w:sz w:val="22"/>
          <w:szCs w:val="22"/>
        </w:rPr>
        <w:t>Verhandlungspositionen, sowie die Einbeziehung in die Verhandlungen über TTIP, TiSA und CETA und weiteren Abkommen dieser Art.</w:t>
      </w:r>
    </w:p>
    <w:p>
      <w:pPr>
        <w:pStyle w:val="Normal"/>
        <w:rPr>
          <w:rFonts w:ascii="Calibri" w:hAnsi="Calibri"/>
        </w:rPr>
      </w:pPr>
      <w:r>
        <w:rPr>
          <w:rFonts w:ascii="Calibri" w:hAnsi="Calibri"/>
        </w:rPr>
      </w:r>
    </w:p>
    <w:p>
      <w:pPr>
        <w:pStyle w:val="Normal"/>
        <w:rPr>
          <w:rFonts w:cs="Calibri" w:ascii="Calibri" w:hAnsi="Calibri"/>
          <w:sz w:val="22"/>
          <w:szCs w:val="22"/>
        </w:rPr>
      </w:pPr>
      <w:r>
        <w:rPr>
          <w:rFonts w:cs="Calibri" w:ascii="Calibri" w:hAnsi="Calibri"/>
          <w:sz w:val="22"/>
          <w:szCs w:val="22"/>
        </w:rPr>
        <w:t>Investitionsschutz für Konzerne</w:t>
      </w:r>
    </w:p>
    <w:p>
      <w:pPr>
        <w:pStyle w:val="Normal"/>
        <w:rPr>
          <w:rFonts w:cs="Calibri" w:ascii="Calibri" w:hAnsi="Calibri"/>
          <w:sz w:val="22"/>
          <w:szCs w:val="22"/>
        </w:rPr>
      </w:pPr>
      <w:r>
        <w:rPr>
          <w:rFonts w:cs="Calibri" w:ascii="Calibri" w:hAnsi="Calibri"/>
          <w:sz w:val="22"/>
          <w:szCs w:val="22"/>
        </w:rPr>
        <w:t>Bei TTIP und CETA erhalten internationale Konzerne ein Sonderklagerecht gegen demokratisch</w:t>
      </w:r>
    </w:p>
    <w:p>
      <w:pPr>
        <w:pStyle w:val="Normal"/>
        <w:rPr>
          <w:rFonts w:cs="Calibri" w:ascii="Calibri" w:hAnsi="Calibri"/>
          <w:sz w:val="22"/>
          <w:szCs w:val="22"/>
        </w:rPr>
      </w:pPr>
      <w:r>
        <w:rPr>
          <w:rFonts w:cs="Calibri" w:ascii="Calibri" w:hAnsi="Calibri"/>
          <w:sz w:val="22"/>
          <w:szCs w:val="22"/>
        </w:rPr>
        <w:t>beschlossene Gesetze oder Verordnungen. Die Klagen werden vor privaten Schiedsgerichten verhandelt. Diese stellen eine Paralleljustiz dar, die grundlegende Prinzipien des Rechtsstaates massiv verletzt. Auch Beschlüsse von Gemeinden können Anlass für solche Klagen sein. Dies würde dazu führen, dass sich die politischen Gremien von Städten und Gemeinden bei jedem Beschluss überlegen müssten, ob sie eventuell die Gewinnerwartung eines Konzerns schmälern würden und somit eine Klage gegen den Staat auslösen könnten. Auch kommunale Subventionen, zum Beispiel für Krankenhäuser, werden angreifbar, weil private Anbieter Gleichbehandlung vor Schiedsgerichten einfordern könnten.</w:t>
      </w:r>
    </w:p>
    <w:p>
      <w:pPr>
        <w:pStyle w:val="Normal"/>
        <w:rPr>
          <w:rFonts w:ascii="Calibri" w:hAnsi="Calibri"/>
        </w:rPr>
      </w:pPr>
      <w:r>
        <w:rPr>
          <w:rFonts w:ascii="Calibri" w:hAnsi="Calibri"/>
        </w:rPr>
      </w:r>
    </w:p>
    <w:p>
      <w:pPr>
        <w:pStyle w:val="Normal"/>
        <w:rPr>
          <w:rFonts w:cs="Calibri" w:ascii="Calibri" w:hAnsi="Calibri"/>
          <w:sz w:val="22"/>
          <w:szCs w:val="22"/>
        </w:rPr>
      </w:pPr>
      <w:r>
        <w:rPr>
          <w:rFonts w:cs="Calibri" w:ascii="Calibri" w:hAnsi="Calibri"/>
          <w:sz w:val="22"/>
          <w:szCs w:val="22"/>
        </w:rPr>
        <w:t xml:space="preserve">Kommunale Daseinsvorsorge, öffentliches Beschaffungswesen </w:t>
      </w:r>
    </w:p>
    <w:p>
      <w:pPr>
        <w:pStyle w:val="Normal"/>
        <w:rPr>
          <w:rFonts w:cs="Calibri" w:ascii="Calibri" w:hAnsi="Calibri"/>
          <w:sz w:val="22"/>
          <w:szCs w:val="22"/>
        </w:rPr>
      </w:pPr>
      <w:r>
        <w:rPr>
          <w:rFonts w:cs="Calibri" w:ascii="Calibri" w:hAnsi="Calibri"/>
          <w:sz w:val="22"/>
          <w:szCs w:val="22"/>
        </w:rPr>
        <w:t xml:space="preserve">In den Abkommen wird geregelt, welche Dienstleistungen von den Städte und Gemeinden erbracht werden dürfen und welche dem Wettbewerb unterliegen müssen. Dies kann nahezu alle bisher öffentlichen Dienstleistungen umfassen. Die EU schließt bisher nur hoheitliche Bereiche aus. Das bedeutet, dass z. Bsp. Bereiche wie Wasserversorgung, Bildung, Kultur, Gesundheitsleistungen oder Nahverkehr verstärkt für Privatisierungen geöffnet werden könnten. Zudem wird die Bevorzugung regional tätiger Anbieter bei öffentlichen Aufträgen erschwert bzw. verunmöglicht, da -von einem bestimmten Schwellenwert an- Aufträge nicht nur EU-weit, sondern auch im Land des Vertragspartners ausgeschrieben werden müssen. Hiermit wird die Handlungsautonomie der Kommunen drastisch eingeschränkt, mit Unternehmen zusammen zu </w:t>
      </w:r>
      <w:r>
        <w:rPr>
          <w:rFonts w:eastAsia="SimSun" w:cs="Calibri" w:ascii="Calibri" w:hAnsi="Calibri"/>
          <w:color w:val="auto"/>
          <w:sz w:val="22"/>
          <w:szCs w:val="22"/>
          <w:lang w:val="de-DE" w:eastAsia="hi-IN" w:bidi="hi-IN"/>
        </w:rPr>
        <w:t>arbeiten,</w:t>
      </w:r>
      <w:r>
        <w:rPr>
          <w:rFonts w:cs="Calibri" w:ascii="Calibri" w:hAnsi="Calibri"/>
          <w:sz w:val="22"/>
          <w:szCs w:val="22"/>
        </w:rPr>
        <w:t xml:space="preserve"> die hohe soziale und ökologische Standards umsetzen. </w:t>
      </w:r>
    </w:p>
    <w:p>
      <w:pPr>
        <w:pStyle w:val="Normal"/>
        <w:rPr>
          <w:rFonts w:ascii="Calibri" w:hAnsi="Calibri"/>
        </w:rPr>
      </w:pPr>
      <w:r>
        <w:rPr>
          <w:rFonts w:ascii="Calibri" w:hAnsi="Calibri"/>
        </w:rPr>
      </w:r>
    </w:p>
    <w:p>
      <w:pPr>
        <w:pStyle w:val="Normal"/>
        <w:rPr>
          <w:rFonts w:cs="Calibri" w:ascii="Calibri" w:hAnsi="Calibri"/>
          <w:sz w:val="22"/>
          <w:szCs w:val="22"/>
        </w:rPr>
      </w:pPr>
      <w:r>
        <w:rPr>
          <w:rFonts w:cs="Calibri" w:ascii="Calibri" w:hAnsi="Calibri"/>
          <w:sz w:val="22"/>
          <w:szCs w:val="22"/>
        </w:rPr>
        <w:t>Standstill- und Ratchet-Klausel (Sperrklinkenklausel)</w:t>
      </w:r>
    </w:p>
    <w:p>
      <w:pPr>
        <w:pStyle w:val="Normal"/>
        <w:rPr>
          <w:rFonts w:cs="Calibri" w:ascii="Calibri" w:hAnsi="Calibri"/>
          <w:sz w:val="22"/>
          <w:szCs w:val="22"/>
        </w:rPr>
      </w:pPr>
      <w:r>
        <w:rPr>
          <w:rFonts w:cs="Calibri" w:ascii="Calibri" w:hAnsi="Calibri"/>
          <w:sz w:val="22"/>
          <w:szCs w:val="22"/>
        </w:rPr>
        <w:t>Die Abkommen enthalten sowohl die Standstill- (Stillstand) wie auch die Ratchetklausel (Sperrklinke). Die Stillstandsklausel legt fest, dass nach Einigung auf einen Status der Liberalisierung dieser nie wieder aufgehoben werden darf. Eine  Dienstleistung wie etwa die Stuttgarter Wasserversorgung, könnte somit somit nicht mehr re-kommunalisiert werden.</w:t>
      </w:r>
    </w:p>
    <w:p>
      <w:pPr>
        <w:pStyle w:val="Normal"/>
        <w:rPr>
          <w:rFonts w:cs="Calibri" w:ascii="Calibri" w:hAnsi="Calibri"/>
          <w:sz w:val="22"/>
          <w:szCs w:val="22"/>
        </w:rPr>
      </w:pPr>
      <w:r>
        <w:rPr>
          <w:rFonts w:cs="Calibri" w:ascii="Calibri" w:hAnsi="Calibri"/>
          <w:sz w:val="22"/>
          <w:szCs w:val="22"/>
        </w:rPr>
        <w:t>Die Sperrklinkenklausel besagt, dass zukünftige Liberalisierungen eines Sektors automatisch zu neuen Vertragsverpflichtungen werden, das heißt auch in diesen Sektoren könnte dann, wenn einmal Wettbewerb zugelassen wurde, nicht mehr zu kommunalem Betrieb zurückgekehrt werden, ohne das Klagen privater Konzernen möglich werden.</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roman"/>
    <w:pitch w:val="variable"/>
  </w:font>
  <w:font w:name="Calibri">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720" w:hanging="360"/>
      </w:pPr>
    </w:lvl>
    <w:lvl w:ilvl="1">
      <w:start w:val="1"/>
      <w:numFmt w:val="lowerLetter"/>
      <w:lvlText w:val="%2."/>
      <w:lvlJc w:val="start"/>
      <w:pPr>
        <w:ind w:start="1440" w:hanging="360"/>
      </w:pPr>
    </w:lvl>
    <w:lvl w:ilvl="2">
      <w:start w:val="1"/>
      <w:numFmt w:val="lowerRoman"/>
      <w:lvlText w:val="%2.%3."/>
      <w:lvlJc w:val="end"/>
      <w:pPr>
        <w:ind w:start="2160" w:hanging="180"/>
      </w:pPr>
    </w:lvl>
    <w:lvl w:ilvl="3">
      <w:start w:val="1"/>
      <w:numFmt w:val="decimal"/>
      <w:lvlText w:val="%2.%3.%4."/>
      <w:lvlJc w:val="start"/>
      <w:pPr>
        <w:ind w:start="2880" w:hanging="360"/>
      </w:pPr>
    </w:lvl>
    <w:lvl w:ilvl="4">
      <w:start w:val="1"/>
      <w:numFmt w:val="lowerLetter"/>
      <w:lvlText w:val="%2.%3.%4.%5."/>
      <w:lvlJc w:val="start"/>
      <w:pPr>
        <w:ind w:start="3600" w:hanging="360"/>
      </w:pPr>
    </w:lvl>
    <w:lvl w:ilvl="5">
      <w:start w:val="1"/>
      <w:numFmt w:val="lowerRoman"/>
      <w:lvlText w:val="%2.%3.%4.%5.%6."/>
      <w:lvlJc w:val="end"/>
      <w:pPr>
        <w:ind w:start="4320" w:hanging="180"/>
      </w:pPr>
    </w:lvl>
    <w:lvl w:ilvl="6">
      <w:start w:val="1"/>
      <w:numFmt w:val="decimal"/>
      <w:lvlText w:val="%2.%3.%4.%5.%6.%7."/>
      <w:lvlJc w:val="start"/>
      <w:pPr>
        <w:ind w:start="5040" w:hanging="360"/>
      </w:pPr>
    </w:lvl>
    <w:lvl w:ilvl="7">
      <w:start w:val="1"/>
      <w:numFmt w:val="lowerLetter"/>
      <w:lvlText w:val="%2.%3.%4.%5.%6.%7.%8."/>
      <w:lvlJc w:val="start"/>
      <w:pPr>
        <w:ind w:start="5760" w:hanging="360"/>
      </w:pPr>
    </w:lvl>
    <w:lvl w:ilvl="8">
      <w:start w:val="1"/>
      <w:numFmt w:val="lowerRoman"/>
      <w:lvlText w:val="%2.%3.%4.%5.%6.%7.%8.%9."/>
      <w:lvlJc w:val="end"/>
      <w:pPr>
        <w:ind w:start="6480" w:hanging="180"/>
      </w:pPr>
    </w:lvl>
  </w:abstractNum>
  <w:abstractNum w:abstractNumId="2">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style w:type="paragraph" w:styleId="Normal">
    <w:name w:val="Normal"/>
    <w:pPr>
      <w:widowControl w:val="false"/>
      <w:suppressAutoHyphens w:val="true"/>
      <w:kinsoku w:val="true"/>
      <w:overflowPunct w:val="true"/>
      <w:autoSpaceDE w:val="true"/>
      <w:bidi w:val="0"/>
    </w:pPr>
    <w:rPr>
      <w:rFonts w:eastAsia="SimSun" w:cs="Mangal" w:ascii="Times New Roman" w:hAnsi="Times New Roman"/>
      <w:color w:val="auto"/>
      <w:sz w:val="24"/>
      <w:szCs w:val="24"/>
      <w:lang w:val="de-DE" w:eastAsia="hi-IN" w:bidi="hi-IN"/>
    </w:rPr>
  </w:style>
  <w:style w:type="character" w:styleId="DefaultParagraphFont">
    <w:name w:val="Default Paragraph Font"/>
    <w:rPr/>
  </w:style>
  <w:style w:type="character" w:styleId="BalloonTextChar">
    <w:name w:val="Balloon Text Char"/>
    <w:basedOn w:val="DefaultParagraphFont"/>
    <w:rPr>
      <w:rFonts w:ascii="Tahoma" w:hAnsi="Tahoma" w:eastAsia="SimSun" w:cs="Mangal"/>
      <w:sz w:val="16"/>
      <w:szCs w:val="14"/>
      <w:lang w:eastAsia="hi-IN" w:bidi="hi-IN"/>
    </w:rPr>
  </w:style>
  <w:style w:type="paragraph" w:styleId="Berschrift">
    <w:name w:val="Überschrift"/>
    <w:basedOn w:val="Normal"/>
    <w:next w:val="Textkrper"/>
    <w:pPr>
      <w:keepNext/>
      <w:spacing w:before="240" w:after="120"/>
    </w:pPr>
    <w:rPr>
      <w:rFonts w:ascii="Arial" w:hAnsi="Arial" w:eastAsia="Microsoft YaHei" w:cs="Mangal"/>
      <w:sz w:val="28"/>
      <w:szCs w:val="28"/>
    </w:rPr>
  </w:style>
  <w:style w:type="paragraph" w:styleId="Textkrper">
    <w:name w:val="Textkörper"/>
    <w:basedOn w:val="Normal"/>
    <w:pPr>
      <w:spacing w:before="0" w:after="12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Beschriftung1">
    <w:name w:val="Beschriftung1"/>
    <w:basedOn w:val="Normal"/>
    <w:pPr>
      <w:suppressLineNumbers/>
      <w:spacing w:before="120" w:after="120"/>
    </w:pPr>
    <w:rPr>
      <w:i/>
      <w:iCs/>
    </w:rPr>
  </w:style>
  <w:style w:type="paragraph" w:styleId="BalloonText">
    <w:name w:val="Balloon Text"/>
    <w:basedOn w:val="Normal"/>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5731</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2014-11-17T16:24:00Z</dcterms:created>
  <dc:creator>ladoneit</dc:creator>
  <dc:language>de-DE</dc:language>
  <cp:lastPrinted>1601-01-01T00:00:00Z</cp:lastPrinted>
  <dcterms:modified xsi:type="dcterms:W3CDTF">2015-02-02T15:02:02Z</dcterms:modified>
  <cp:revision>8</cp:revision>
</cp:coreProperties>
</file>